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73D944DB" w:rsidR="001A3C5A" w:rsidRDefault="00FE2FA0" w:rsidP="00E53A70">
      <w:pPr>
        <w:spacing w:line="276" w:lineRule="auto"/>
        <w:jc w:val="right"/>
        <w:rPr>
          <w:b/>
          <w:bCs/>
        </w:rPr>
      </w:pPr>
      <w:bookmarkStart w:id="0" w:name="OLE_LINK3"/>
      <w:r>
        <w:rPr>
          <w:b/>
          <w:bCs/>
        </w:rPr>
        <w:t>27</w:t>
      </w:r>
      <w:r w:rsidR="009C5781">
        <w:rPr>
          <w:b/>
          <w:bCs/>
        </w:rPr>
        <w:t xml:space="preserve"> June 2018</w:t>
      </w:r>
    </w:p>
    <w:bookmarkEnd w:id="0"/>
    <w:p w14:paraId="47692A2C" w14:textId="03AC8118" w:rsidR="007E0C88" w:rsidRPr="00B52DB8" w:rsidRDefault="00FE2FA0" w:rsidP="007E0C88">
      <w:pPr>
        <w:spacing w:line="276" w:lineRule="auto"/>
        <w:jc w:val="right"/>
        <w:rPr>
          <w:b/>
          <w:bCs/>
        </w:rPr>
      </w:pPr>
      <w:r>
        <w:rPr>
          <w:b/>
          <w:bCs/>
        </w:rPr>
        <w:t>Stockholm, Sweden</w:t>
      </w:r>
    </w:p>
    <w:p w14:paraId="711D6431" w14:textId="4A370156" w:rsidR="006F1CC9" w:rsidRDefault="00803306" w:rsidP="00B36F53">
      <w:pPr>
        <w:rPr>
          <w:b/>
          <w:bCs/>
          <w:sz w:val="28"/>
          <w:lang w:val="en-US"/>
        </w:rPr>
      </w:pPr>
      <w:bookmarkStart w:id="1" w:name="OLE_LINK1"/>
      <w:bookmarkStart w:id="2" w:name="OLE_LINK2"/>
      <w:r>
        <w:rPr>
          <w:b/>
          <w:bCs/>
          <w:sz w:val="28"/>
          <w:lang w:val="en-US"/>
        </w:rPr>
        <w:t xml:space="preserve">Efficient Supply Chains will unlock immense biomass potential </w:t>
      </w:r>
    </w:p>
    <w:p w14:paraId="19B0AA13" w14:textId="4D9B847A" w:rsidR="006F1CC9" w:rsidRPr="00643126" w:rsidRDefault="00FE2FA0" w:rsidP="00643126">
      <w:pPr>
        <w:rPr>
          <w:i/>
          <w:lang w:val="en-US"/>
        </w:rPr>
      </w:pPr>
      <w:r>
        <w:rPr>
          <w:i/>
          <w:lang w:val="en-US"/>
        </w:rPr>
        <w:t xml:space="preserve">New WBA Factsheet on Biomass Supply Chains </w:t>
      </w:r>
    </w:p>
    <w:p w14:paraId="485F3CFE" w14:textId="1CD70422" w:rsidR="0068218E" w:rsidRDefault="00FE2FA0" w:rsidP="0068218E">
      <w:pPr>
        <w:rPr>
          <w:lang w:val="en-US"/>
        </w:rPr>
      </w:pPr>
      <w:r>
        <w:rPr>
          <w:lang w:val="en-US"/>
        </w:rPr>
        <w:t>World Bioenergy Association is pleased to publish our latest factsheet on Biomass Supply Chains</w:t>
      </w:r>
      <w:r w:rsidR="005A5306">
        <w:rPr>
          <w:lang w:val="en-US"/>
        </w:rPr>
        <w:t xml:space="preserve">. This factsheet </w:t>
      </w:r>
      <w:r w:rsidR="00576EA7">
        <w:rPr>
          <w:lang w:val="en-US"/>
        </w:rPr>
        <w:t xml:space="preserve">deals with the logistics of biomass energy systems including harvesting and collection, pretreatment and upgrading, storage, transportation and handling. </w:t>
      </w:r>
      <w:r>
        <w:rPr>
          <w:lang w:val="en-US"/>
        </w:rPr>
        <w:t>This factsheet is the 12</w:t>
      </w:r>
      <w:r w:rsidRPr="00FE2FA0">
        <w:rPr>
          <w:vertAlign w:val="superscript"/>
          <w:lang w:val="en-US"/>
        </w:rPr>
        <w:t>th</w:t>
      </w:r>
      <w:r>
        <w:rPr>
          <w:lang w:val="en-US"/>
        </w:rPr>
        <w:t xml:space="preserve"> in a series of important reports highlighting fact-based information on the latest technologies and processes in the bioenergy sector. </w:t>
      </w:r>
      <w:r w:rsidR="00DA69E8" w:rsidRPr="00576EA7">
        <w:rPr>
          <w:lang w:val="en-US"/>
        </w:rPr>
        <w:t xml:space="preserve">This factsheet will form a basis for these stakeholders to </w:t>
      </w:r>
      <w:r w:rsidR="00DA69E8">
        <w:rPr>
          <w:lang w:val="en-US"/>
        </w:rPr>
        <w:t>understand the various technolo</w:t>
      </w:r>
      <w:r w:rsidR="00DA69E8" w:rsidRPr="00576EA7">
        <w:rPr>
          <w:lang w:val="en-US"/>
        </w:rPr>
        <w:t xml:space="preserve">gies and processes already existing worldwide and to implement the lessons learned from successful case studies. </w:t>
      </w:r>
    </w:p>
    <w:p w14:paraId="6E09571D" w14:textId="2D991E4E" w:rsidR="00FE2FA0" w:rsidRDefault="00576EA7" w:rsidP="0068218E">
      <w:pPr>
        <w:rPr>
          <w:lang w:val="en-US"/>
        </w:rPr>
      </w:pPr>
      <w:r w:rsidRPr="00576EA7">
        <w:rPr>
          <w:lang w:val="en-US"/>
        </w:rPr>
        <w:t>Bioenergy plays a key role in mitigating climate change in all sectors of energy supply and the supply chains of biomass are crucial in order to realize the full potential of bioenergy.</w:t>
      </w:r>
      <w:r>
        <w:rPr>
          <w:lang w:val="en-US"/>
        </w:rPr>
        <w:t xml:space="preserve"> </w:t>
      </w:r>
      <w:r w:rsidRPr="00576EA7">
        <w:rPr>
          <w:lang w:val="en-US"/>
        </w:rPr>
        <w:t xml:space="preserve">The efficient operation of all components </w:t>
      </w:r>
      <w:r>
        <w:rPr>
          <w:lang w:val="en-US"/>
        </w:rPr>
        <w:t xml:space="preserve">of supply chains </w:t>
      </w:r>
      <w:r w:rsidRPr="00576EA7">
        <w:rPr>
          <w:lang w:val="en-US"/>
        </w:rPr>
        <w:t>is important to</w:t>
      </w:r>
      <w:r>
        <w:rPr>
          <w:lang w:val="en-US"/>
        </w:rPr>
        <w:t xml:space="preserve"> ensure a stable supply and re</w:t>
      </w:r>
      <w:r w:rsidRPr="00576EA7">
        <w:rPr>
          <w:lang w:val="en-US"/>
        </w:rPr>
        <w:t>duce overall costs of the technology</w:t>
      </w:r>
      <w:r>
        <w:rPr>
          <w:lang w:val="en-US"/>
        </w:rPr>
        <w:t xml:space="preserve">. </w:t>
      </w:r>
      <w:r w:rsidRPr="00576EA7">
        <w:rPr>
          <w:lang w:val="en-US"/>
        </w:rPr>
        <w:t xml:space="preserve">This factsheet focusses on supply chains of feedstock </w:t>
      </w:r>
      <w:r w:rsidR="005A5306">
        <w:rPr>
          <w:lang w:val="en-US"/>
        </w:rPr>
        <w:t xml:space="preserve">to energy </w:t>
      </w:r>
      <w:r w:rsidRPr="00576EA7">
        <w:rPr>
          <w:lang w:val="en-US"/>
        </w:rPr>
        <w:t>sectors including forestry and agriculture</w:t>
      </w:r>
      <w:r>
        <w:rPr>
          <w:lang w:val="en-US"/>
        </w:rPr>
        <w:t>.</w:t>
      </w:r>
    </w:p>
    <w:p w14:paraId="43E12477" w14:textId="4F339908" w:rsidR="00576EA7" w:rsidRDefault="00576EA7" w:rsidP="0068218E">
      <w:pPr>
        <w:rPr>
          <w:lang w:val="en-US"/>
        </w:rPr>
      </w:pPr>
      <w:r>
        <w:rPr>
          <w:lang w:val="en-US"/>
        </w:rPr>
        <w:t>“</w:t>
      </w:r>
      <w:r w:rsidR="00961AAA">
        <w:rPr>
          <w:i/>
          <w:lang w:val="en-US"/>
        </w:rPr>
        <w:t xml:space="preserve">The need to combat climate change and fulfil Paris Agreement requires input and use of all renewable energy sources. Almost all countries around the world who have signed the agreement are already using biomass as an energy source. Biomass in the form of wood chips and pellets etc. has become an internationally traded commodity. However, for maximizing the sustainable utilization of biomass, it is important to understand the process of logistics/supply chains. Our factsheet will help to understand and improve the knowledge base in this field </w:t>
      </w:r>
      <w:r w:rsidR="00137ED0">
        <w:rPr>
          <w:i/>
          <w:lang w:val="en-US"/>
        </w:rPr>
        <w:t>“–</w:t>
      </w:r>
      <w:r>
        <w:rPr>
          <w:i/>
          <w:lang w:val="en-US"/>
        </w:rPr>
        <w:t xml:space="preserve"> </w:t>
      </w:r>
      <w:r>
        <w:rPr>
          <w:lang w:val="en-US"/>
        </w:rPr>
        <w:t xml:space="preserve">says Remigijus Lapinskas, President, World Bioenergy Association. </w:t>
      </w:r>
    </w:p>
    <w:p w14:paraId="479A95C6" w14:textId="6D88DFB5" w:rsidR="00576EA7" w:rsidRPr="00576EA7" w:rsidRDefault="00576EA7" w:rsidP="0068218E">
      <w:pPr>
        <w:rPr>
          <w:lang w:val="en-US"/>
        </w:rPr>
      </w:pPr>
      <w:r w:rsidRPr="00576EA7">
        <w:rPr>
          <w:lang w:val="en-US"/>
        </w:rPr>
        <w:t xml:space="preserve">Feedstock costs associated with supply chains form the major share of the total cost of the technology. The overall cost is highly case dependent, and the successful management of the supply chains is critical for the success of any investment. Thus, improving the supply chains will unlock the immense potential of the </w:t>
      </w:r>
      <w:r w:rsidR="005A5306">
        <w:rPr>
          <w:lang w:val="en-US"/>
        </w:rPr>
        <w:t>biomass sector</w:t>
      </w:r>
      <w:r w:rsidRPr="00576EA7">
        <w:rPr>
          <w:lang w:val="en-US"/>
        </w:rPr>
        <w:t>.</w:t>
      </w:r>
    </w:p>
    <w:p w14:paraId="566857B9" w14:textId="1B6DF280" w:rsidR="00576EA7" w:rsidRPr="00576EA7" w:rsidRDefault="00576EA7" w:rsidP="00576EA7">
      <w:pPr>
        <w:rPr>
          <w:lang w:val="en-US"/>
        </w:rPr>
      </w:pPr>
      <w:r>
        <w:rPr>
          <w:lang w:val="en-US"/>
        </w:rPr>
        <w:t>N</w:t>
      </w:r>
      <w:r w:rsidRPr="00576EA7">
        <w:rPr>
          <w:lang w:val="en-US"/>
        </w:rPr>
        <w:t xml:space="preserve">umerous technologies already exist to meet the needs of all </w:t>
      </w:r>
      <w:r>
        <w:rPr>
          <w:lang w:val="en-US"/>
        </w:rPr>
        <w:t xml:space="preserve">components of the supply chains. </w:t>
      </w:r>
      <w:r w:rsidRPr="00576EA7">
        <w:rPr>
          <w:lang w:val="en-US"/>
        </w:rPr>
        <w:t>Countries especially in Europe are pioneers in efficient use of machinery for harvesting and collection of bioma</w:t>
      </w:r>
      <w:r>
        <w:rPr>
          <w:lang w:val="en-US"/>
        </w:rPr>
        <w:t xml:space="preserve">ss, efficient </w:t>
      </w:r>
      <w:r w:rsidR="005A5306">
        <w:rPr>
          <w:lang w:val="en-US"/>
        </w:rPr>
        <w:t>pretreatment</w:t>
      </w:r>
      <w:r w:rsidRPr="00576EA7">
        <w:rPr>
          <w:lang w:val="en-US"/>
        </w:rPr>
        <w:t xml:space="preserve"> of biomass </w:t>
      </w:r>
      <w:r w:rsidR="005A5306">
        <w:rPr>
          <w:lang w:val="en-US"/>
        </w:rPr>
        <w:t xml:space="preserve">and </w:t>
      </w:r>
      <w:r w:rsidR="008745C1">
        <w:rPr>
          <w:lang w:val="en-US"/>
        </w:rPr>
        <w:t>processing</w:t>
      </w:r>
      <w:r w:rsidRPr="00576EA7">
        <w:rPr>
          <w:lang w:val="en-US"/>
        </w:rPr>
        <w:t xml:space="preserve"> </w:t>
      </w:r>
      <w:r w:rsidR="005A5306">
        <w:rPr>
          <w:lang w:val="en-US"/>
        </w:rPr>
        <w:t xml:space="preserve">to energy dense </w:t>
      </w:r>
      <w:r w:rsidRPr="00576EA7">
        <w:rPr>
          <w:lang w:val="en-US"/>
        </w:rPr>
        <w:t xml:space="preserve">products (e.g. pellets) </w:t>
      </w:r>
      <w:r w:rsidR="005A5306">
        <w:rPr>
          <w:lang w:val="en-US"/>
        </w:rPr>
        <w:t>and also</w:t>
      </w:r>
      <w:r w:rsidRPr="00576EA7">
        <w:rPr>
          <w:lang w:val="en-US"/>
        </w:rPr>
        <w:t xml:space="preserve"> efficient use of road, rail and marine transportation of biomass from short and long distances.</w:t>
      </w:r>
    </w:p>
    <w:p w14:paraId="52513D91" w14:textId="7FC65481" w:rsidR="00576EA7" w:rsidRDefault="002B7A45" w:rsidP="00576EA7">
      <w:pPr>
        <w:rPr>
          <w:lang w:val="en-US"/>
        </w:rPr>
      </w:pPr>
      <w:r>
        <w:rPr>
          <w:lang w:val="en-US"/>
        </w:rPr>
        <w:t>To mobilize biomass on a global level,</w:t>
      </w:r>
      <w:r w:rsidR="00576EA7" w:rsidRPr="00576EA7">
        <w:rPr>
          <w:lang w:val="en-US"/>
        </w:rPr>
        <w:t xml:space="preserve"> WBA urges for a concerted effort from all stakeholders in the biomass supply chain. WBA believes that supply chains from forestry and agriculture sectors in the future will enable cities, provinces and countries to meet their energy goals through the use bioenergy and leading to energy security, efficient resource utilization and economic development.</w:t>
      </w:r>
    </w:p>
    <w:p w14:paraId="3E938BBE" w14:textId="7CE85CD9" w:rsidR="00576EA7" w:rsidRDefault="00576EA7">
      <w:pPr>
        <w:spacing w:before="0" w:after="0"/>
        <w:rPr>
          <w:lang w:val="en-US"/>
        </w:rPr>
      </w:pPr>
      <w:r>
        <w:rPr>
          <w:lang w:val="en-US"/>
        </w:rPr>
        <w:t xml:space="preserve">The factsheet can be downloaded </w:t>
      </w:r>
      <w:r w:rsidRPr="00C01472">
        <w:rPr>
          <w:lang w:val="en-US"/>
        </w:rPr>
        <w:t xml:space="preserve">here: </w:t>
      </w:r>
      <w:hyperlink r:id="rId7" w:history="1">
        <w:r w:rsidRPr="00C01472">
          <w:rPr>
            <w:rStyle w:val="Hyperlink"/>
            <w:lang w:val="en-US"/>
          </w:rPr>
          <w:t>Link</w:t>
        </w:r>
      </w:hyperlink>
      <w:r>
        <w:rPr>
          <w:lang w:val="en-US"/>
        </w:rPr>
        <w:t xml:space="preserve"> </w:t>
      </w:r>
    </w:p>
    <w:p w14:paraId="64C090AC" w14:textId="77777777" w:rsidR="00803306" w:rsidRDefault="00803306">
      <w:pPr>
        <w:spacing w:before="0" w:after="0"/>
        <w:rPr>
          <w:b/>
          <w:lang w:val="en-US"/>
        </w:rPr>
      </w:pPr>
      <w:r>
        <w:rPr>
          <w:b/>
          <w:lang w:val="en-US"/>
        </w:rPr>
        <w:br w:type="page"/>
      </w:r>
    </w:p>
    <w:p w14:paraId="3F048BC0" w14:textId="77777777" w:rsidR="00803306" w:rsidRPr="00FA693A" w:rsidRDefault="00803306" w:rsidP="00576EA7">
      <w:pPr>
        <w:rPr>
          <w:i/>
          <w:u w:val="single"/>
          <w:lang w:val="en-US"/>
        </w:rPr>
      </w:pPr>
      <w:r w:rsidRPr="00FA693A">
        <w:rPr>
          <w:i/>
          <w:u w:val="single"/>
          <w:lang w:val="en-US"/>
        </w:rPr>
        <w:lastRenderedPageBreak/>
        <w:t xml:space="preserve">About Factsheets: </w:t>
      </w:r>
    </w:p>
    <w:p w14:paraId="01687F59" w14:textId="11AD7014" w:rsidR="00FE2FA0" w:rsidRPr="00803306" w:rsidRDefault="00803306" w:rsidP="00576EA7">
      <w:pPr>
        <w:rPr>
          <w:i/>
          <w:lang w:val="en-US"/>
        </w:rPr>
      </w:pPr>
      <w:r w:rsidRPr="00803306">
        <w:rPr>
          <w:i/>
          <w:lang w:val="en-US"/>
        </w:rPr>
        <w:t>Factsheets</w:t>
      </w:r>
      <w:r w:rsidR="00576EA7" w:rsidRPr="00803306">
        <w:rPr>
          <w:b/>
          <w:i/>
          <w:lang w:val="en-US"/>
        </w:rPr>
        <w:t xml:space="preserve"> </w:t>
      </w:r>
      <w:r w:rsidR="00576EA7" w:rsidRPr="00803306">
        <w:rPr>
          <w:i/>
          <w:lang w:val="en-US"/>
        </w:rPr>
        <w:t xml:space="preserve">are one of WBA’s main </w:t>
      </w:r>
      <w:r w:rsidR="003E36A5" w:rsidRPr="00803306">
        <w:rPr>
          <w:i/>
          <w:lang w:val="en-US"/>
        </w:rPr>
        <w:t>publication’s</w:t>
      </w:r>
      <w:r w:rsidR="00576EA7" w:rsidRPr="00803306">
        <w:rPr>
          <w:i/>
          <w:lang w:val="en-US"/>
        </w:rPr>
        <w:t xml:space="preserve"> aiming to dispel the myths and misconceptions in the bioenergy sector and to provide natural science-based</w:t>
      </w:r>
      <w:r w:rsidR="003E36A5" w:rsidRPr="00803306">
        <w:rPr>
          <w:i/>
          <w:lang w:val="en-US"/>
        </w:rPr>
        <w:t xml:space="preserve"> facts. Our objective is to bring rational arguments and support the development of bioenergy by informing the target audience of industry, </w:t>
      </w:r>
      <w:r w:rsidRPr="00803306">
        <w:rPr>
          <w:i/>
          <w:lang w:val="en-US"/>
        </w:rPr>
        <w:t xml:space="preserve">policy makers and civil societies. All factsheets are free to download and available for the general public free of charge. </w:t>
      </w:r>
    </w:p>
    <w:p w14:paraId="1D5BFA45" w14:textId="7EC71EF1" w:rsidR="00803306" w:rsidRDefault="00803306" w:rsidP="00576EA7">
      <w:pPr>
        <w:rPr>
          <w:lang w:val="en-US"/>
        </w:rPr>
      </w:pPr>
    </w:p>
    <w:p w14:paraId="45978C21" w14:textId="77777777" w:rsidR="007E0C88" w:rsidRPr="009D3786" w:rsidRDefault="009D3786" w:rsidP="007E0C88">
      <w:pPr>
        <w:spacing w:line="276" w:lineRule="auto"/>
        <w:rPr>
          <w:i/>
          <w:u w:val="single"/>
        </w:rPr>
      </w:pPr>
      <w:r w:rsidRPr="009D3786">
        <w:rPr>
          <w:i/>
          <w:u w:val="single"/>
        </w:rPr>
        <w:t>About WBA</w:t>
      </w:r>
    </w:p>
    <w:bookmarkEnd w:id="1"/>
    <w:bookmarkEnd w:id="2"/>
    <w:p w14:paraId="002C1712" w14:textId="37FB07CD" w:rsidR="00FA693A" w:rsidRDefault="001A7AAE" w:rsidP="001A7AAE">
      <w:pPr>
        <w:rPr>
          <w:rFonts w:eastAsia="Times New Roman"/>
          <w:i/>
          <w:iCs/>
          <w:lang w:eastAsia="sv-SE"/>
        </w:rPr>
      </w:pPr>
      <w:r w:rsidRPr="001426DA">
        <w:rPr>
          <w:rFonts w:eastAsia="Times New Roman"/>
          <w:i/>
          <w:iCs/>
          <w:lang w:eastAsia="sv-SE"/>
        </w:rPr>
        <w:t xml:space="preserve">The World Bioenergy Association (WBA) is the global organization dedicated to supporting and representing the wide range of actors in the bioenergy sector. </w:t>
      </w:r>
      <w:r>
        <w:rPr>
          <w:rFonts w:eastAsia="Times New Roman"/>
          <w:i/>
          <w:iCs/>
          <w:lang w:eastAsia="sv-SE"/>
        </w:rPr>
        <w:t>Our</w:t>
      </w:r>
      <w:r w:rsidRPr="001426DA">
        <w:rPr>
          <w:rFonts w:eastAsia="Times New Roman"/>
          <w:i/>
          <w:iCs/>
          <w:lang w:eastAsia="sv-SE"/>
        </w:rPr>
        <w:t xml:space="preserve"> members include national and regional bioenergy organizations, institutions, companies and individuals. </w:t>
      </w:r>
      <w:r>
        <w:rPr>
          <w:rFonts w:eastAsia="Times New Roman"/>
          <w:i/>
          <w:iCs/>
          <w:lang w:eastAsia="sv-SE"/>
        </w:rPr>
        <w:t xml:space="preserve">WBA mission is to promote the increasing utilization of sustainable bioenergy globally and to support the business environment for bioenergy. </w:t>
      </w:r>
      <w:r w:rsidR="00FA693A">
        <w:rPr>
          <w:rFonts w:eastAsia="Times New Roman"/>
          <w:i/>
          <w:iCs/>
          <w:lang w:eastAsia="sv-SE"/>
        </w:rPr>
        <w:t xml:space="preserve">Visit us at </w:t>
      </w:r>
      <w:hyperlink r:id="rId8" w:history="1">
        <w:r w:rsidR="00FA693A" w:rsidRPr="00DB1F3C">
          <w:rPr>
            <w:rStyle w:val="Hyperlink"/>
            <w:rFonts w:eastAsia="Times New Roman"/>
            <w:i/>
            <w:iCs/>
            <w:lang w:eastAsia="sv-SE"/>
          </w:rPr>
          <w:t>www.worldbioenergy.org</w:t>
        </w:r>
      </w:hyperlink>
      <w:r w:rsidR="00FA693A">
        <w:rPr>
          <w:rFonts w:eastAsia="Times New Roman"/>
          <w:i/>
          <w:iCs/>
          <w:lang w:eastAsia="sv-SE"/>
        </w:rPr>
        <w:t xml:space="preserve"> </w:t>
      </w:r>
    </w:p>
    <w:p w14:paraId="1074F62F" w14:textId="69556E29" w:rsidR="008737C0" w:rsidRPr="008737C0" w:rsidRDefault="008737C0" w:rsidP="008737C0">
      <w:pPr>
        <w:rPr>
          <w:rFonts w:eastAsia="Times New Roman"/>
          <w:i/>
          <w:iCs/>
          <w:lang w:val="en-US" w:eastAsia="sv-SE"/>
        </w:rPr>
      </w:pPr>
      <w:r w:rsidRPr="008737C0">
        <w:rPr>
          <w:rFonts w:eastAsia="Times New Roman"/>
          <w:i/>
          <w:iCs/>
          <w:lang w:val="en-US" w:eastAsia="sv-SE"/>
        </w:rPr>
        <w:t>If you are interested to support our activities and avail exclusive member benefits, join us:</w:t>
      </w:r>
      <w:r w:rsidR="00095DC7">
        <w:rPr>
          <w:rFonts w:eastAsia="Times New Roman"/>
          <w:i/>
          <w:iCs/>
          <w:lang w:val="en-US" w:eastAsia="sv-SE"/>
        </w:rPr>
        <w:t xml:space="preserve"> </w:t>
      </w:r>
      <w:hyperlink r:id="rId9" w:history="1">
        <w:r w:rsidR="00095DC7" w:rsidRPr="00095DC7">
          <w:rPr>
            <w:rStyle w:val="Hyperlink"/>
            <w:rFonts w:eastAsia="Times New Roman"/>
            <w:i/>
            <w:iCs/>
            <w:lang w:val="en-US" w:eastAsia="sv-SE"/>
          </w:rPr>
          <w:t>Membership</w:t>
        </w:r>
      </w:hyperlink>
      <w:bookmarkStart w:id="3" w:name="_GoBack"/>
      <w:bookmarkEnd w:id="3"/>
      <w:r w:rsidR="00095DC7">
        <w:rPr>
          <w:rFonts w:eastAsia="Times New Roman"/>
          <w:i/>
          <w:iCs/>
          <w:lang w:val="en-US" w:eastAsia="sv-SE"/>
        </w:rPr>
        <w:t xml:space="preserve"> </w:t>
      </w:r>
    </w:p>
    <w:p w14:paraId="34670DE1" w14:textId="77777777" w:rsidR="008737C0" w:rsidRPr="008737C0" w:rsidRDefault="008737C0" w:rsidP="001A7AAE">
      <w:pPr>
        <w:rPr>
          <w:rFonts w:eastAsia="Times New Roman"/>
          <w:i/>
          <w:iCs/>
          <w:lang w:val="en-US" w:eastAsia="sv-SE"/>
        </w:rPr>
      </w:pPr>
    </w:p>
    <w:sectPr w:rsidR="008737C0" w:rsidRPr="008737C0" w:rsidSect="00F556D5">
      <w:headerReference w:type="even" r:id="rId10"/>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84BDF" w14:textId="77777777" w:rsidR="00FA66F0" w:rsidRDefault="00FA66F0" w:rsidP="000A6025">
      <w:r>
        <w:separator/>
      </w:r>
    </w:p>
  </w:endnote>
  <w:endnote w:type="continuationSeparator" w:id="0">
    <w:p w14:paraId="15BCFC48" w14:textId="77777777" w:rsidR="00FA66F0" w:rsidRDefault="00FA66F0"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5F1A" w14:textId="77777777" w:rsidR="00FA66F0" w:rsidRDefault="00FA66F0" w:rsidP="000A6025">
      <w:r>
        <w:separator/>
      </w:r>
    </w:p>
  </w:footnote>
  <w:footnote w:type="continuationSeparator" w:id="0">
    <w:p w14:paraId="13402B2E" w14:textId="77777777" w:rsidR="00FA66F0" w:rsidRDefault="00FA66F0"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12833"/>
    <w:rsid w:val="00030153"/>
    <w:rsid w:val="00061A76"/>
    <w:rsid w:val="00095DC7"/>
    <w:rsid w:val="000A6025"/>
    <w:rsid w:val="000D62D3"/>
    <w:rsid w:val="000E6802"/>
    <w:rsid w:val="00137ED0"/>
    <w:rsid w:val="001459C1"/>
    <w:rsid w:val="001559CC"/>
    <w:rsid w:val="00164F44"/>
    <w:rsid w:val="001A7AAE"/>
    <w:rsid w:val="001B6835"/>
    <w:rsid w:val="001E43BB"/>
    <w:rsid w:val="002066A9"/>
    <w:rsid w:val="002B7A45"/>
    <w:rsid w:val="002E3999"/>
    <w:rsid w:val="00336CCE"/>
    <w:rsid w:val="003924C1"/>
    <w:rsid w:val="003E36A5"/>
    <w:rsid w:val="00402444"/>
    <w:rsid w:val="00410117"/>
    <w:rsid w:val="0046238F"/>
    <w:rsid w:val="00491E02"/>
    <w:rsid w:val="004D76E4"/>
    <w:rsid w:val="00505861"/>
    <w:rsid w:val="00540CD1"/>
    <w:rsid w:val="00576EA7"/>
    <w:rsid w:val="005A5306"/>
    <w:rsid w:val="005F0C00"/>
    <w:rsid w:val="00643126"/>
    <w:rsid w:val="00671A37"/>
    <w:rsid w:val="00676220"/>
    <w:rsid w:val="0068218E"/>
    <w:rsid w:val="006950DA"/>
    <w:rsid w:val="006C0FAF"/>
    <w:rsid w:val="006F1CC9"/>
    <w:rsid w:val="00734BD4"/>
    <w:rsid w:val="007E0C88"/>
    <w:rsid w:val="007F2824"/>
    <w:rsid w:val="00803306"/>
    <w:rsid w:val="00826019"/>
    <w:rsid w:val="00863E49"/>
    <w:rsid w:val="008737C0"/>
    <w:rsid w:val="008745C1"/>
    <w:rsid w:val="008A2F7D"/>
    <w:rsid w:val="008E3359"/>
    <w:rsid w:val="00936122"/>
    <w:rsid w:val="00940B7E"/>
    <w:rsid w:val="009517AD"/>
    <w:rsid w:val="00961AAA"/>
    <w:rsid w:val="009C5781"/>
    <w:rsid w:val="009D3786"/>
    <w:rsid w:val="009D70AC"/>
    <w:rsid w:val="009F0408"/>
    <w:rsid w:val="00A04470"/>
    <w:rsid w:val="00A56044"/>
    <w:rsid w:val="00A75717"/>
    <w:rsid w:val="00AE3F15"/>
    <w:rsid w:val="00AF0B71"/>
    <w:rsid w:val="00B36F53"/>
    <w:rsid w:val="00B52DB8"/>
    <w:rsid w:val="00B663F5"/>
    <w:rsid w:val="00BC6B7B"/>
    <w:rsid w:val="00C01472"/>
    <w:rsid w:val="00C066AA"/>
    <w:rsid w:val="00C2269E"/>
    <w:rsid w:val="00C3669F"/>
    <w:rsid w:val="00CA0495"/>
    <w:rsid w:val="00CF515F"/>
    <w:rsid w:val="00D14473"/>
    <w:rsid w:val="00D54260"/>
    <w:rsid w:val="00D6622D"/>
    <w:rsid w:val="00D91274"/>
    <w:rsid w:val="00DA69E8"/>
    <w:rsid w:val="00DB2FEF"/>
    <w:rsid w:val="00E04082"/>
    <w:rsid w:val="00E27262"/>
    <w:rsid w:val="00E430F9"/>
    <w:rsid w:val="00E43976"/>
    <w:rsid w:val="00E5177A"/>
    <w:rsid w:val="00E53A70"/>
    <w:rsid w:val="00E96997"/>
    <w:rsid w:val="00F50B8A"/>
    <w:rsid w:val="00F556D5"/>
    <w:rsid w:val="00F67111"/>
    <w:rsid w:val="00F77592"/>
    <w:rsid w:val="00FA66F0"/>
    <w:rsid w:val="00FA693A"/>
    <w:rsid w:val="00FC3A19"/>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18E"/>
    <w:pPr>
      <w:spacing w:before="120" w:after="12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ioenerg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ldbioenergy.org/factshee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ldbioenergy.org/benefi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19</cp:revision>
  <dcterms:created xsi:type="dcterms:W3CDTF">2018-06-27T06:53:00Z</dcterms:created>
  <dcterms:modified xsi:type="dcterms:W3CDTF">2018-06-27T13:03:00Z</dcterms:modified>
</cp:coreProperties>
</file>